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27A50" w14:textId="77777777" w:rsidR="008401BC" w:rsidRDefault="008401BC" w:rsidP="008401BC"/>
    <w:tbl>
      <w:tblPr>
        <w:tblW w:w="0" w:type="auto"/>
        <w:tblLook w:val="04A0" w:firstRow="1" w:lastRow="0" w:firstColumn="1" w:lastColumn="0" w:noHBand="0" w:noVBand="1"/>
      </w:tblPr>
      <w:tblGrid>
        <w:gridCol w:w="5058"/>
        <w:gridCol w:w="4518"/>
      </w:tblGrid>
      <w:tr w:rsidR="008401BC" w14:paraId="03627A53" w14:textId="77777777" w:rsidTr="008401BC">
        <w:trPr>
          <w:trHeight w:val="1350"/>
        </w:trPr>
        <w:tc>
          <w:tcPr>
            <w:tcW w:w="5252" w:type="dxa"/>
            <w:vAlign w:val="bottom"/>
            <w:hideMark/>
          </w:tcPr>
          <w:p w14:paraId="03627A51" w14:textId="77777777" w:rsidR="008401BC" w:rsidRDefault="008401BC">
            <w:pPr>
              <w:jc w:val="center"/>
              <w:rPr>
                <w:rFonts w:cs="Times New Roman"/>
                <w:b/>
              </w:rPr>
            </w:pPr>
            <w:r>
              <w:rPr>
                <w:b/>
                <w:noProof/>
              </w:rPr>
              <w:drawing>
                <wp:inline distT="0" distB="0" distL="0" distR="0" wp14:anchorId="03627A96" wp14:editId="03627A97">
                  <wp:extent cx="2758554" cy="733425"/>
                  <wp:effectExtent l="0" t="0" r="3810" b="0"/>
                  <wp:docPr id="2" name="Picture 2" descr="WFG 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TIC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8554" cy="733425"/>
                          </a:xfrm>
                          <a:prstGeom prst="rect">
                            <a:avLst/>
                          </a:prstGeom>
                          <a:noFill/>
                          <a:ln>
                            <a:noFill/>
                          </a:ln>
                        </pic:spPr>
                      </pic:pic>
                    </a:graphicData>
                  </a:graphic>
                </wp:inline>
              </w:drawing>
            </w:r>
          </w:p>
        </w:tc>
        <w:tc>
          <w:tcPr>
            <w:tcW w:w="4612" w:type="dxa"/>
            <w:vAlign w:val="center"/>
            <w:hideMark/>
          </w:tcPr>
          <w:p w14:paraId="03627A52" w14:textId="77777777" w:rsidR="008401BC" w:rsidRDefault="008401BC">
            <w:pPr>
              <w:jc w:val="center"/>
              <w:rPr>
                <w:rFonts w:cs="Times New Roman"/>
                <w:b/>
              </w:rPr>
            </w:pPr>
            <w:r>
              <w:rPr>
                <w:b/>
                <w:noProof/>
              </w:rPr>
              <w:drawing>
                <wp:inline distT="0" distB="0" distL="0" distR="0" wp14:anchorId="03627A98" wp14:editId="03627A99">
                  <wp:extent cx="2580968"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0968" cy="666750"/>
                          </a:xfrm>
                          <a:prstGeom prst="rect">
                            <a:avLst/>
                          </a:prstGeom>
                          <a:noFill/>
                          <a:ln>
                            <a:noFill/>
                          </a:ln>
                        </pic:spPr>
                      </pic:pic>
                    </a:graphicData>
                  </a:graphic>
                </wp:inline>
              </w:drawing>
            </w:r>
          </w:p>
        </w:tc>
      </w:tr>
    </w:tbl>
    <w:p w14:paraId="03627A55" w14:textId="77777777" w:rsidR="00866472" w:rsidRPr="00866472" w:rsidRDefault="00135EDE" w:rsidP="00866472">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NATIONAL </w:t>
      </w:r>
      <w:r w:rsidR="00866472" w:rsidRPr="00866472">
        <w:rPr>
          <w:rFonts w:ascii="Times New Roman" w:hAnsi="Times New Roman" w:cs="Times New Roman"/>
          <w:b/>
          <w:sz w:val="24"/>
          <w:szCs w:val="24"/>
          <w:u w:val="single"/>
        </w:rPr>
        <w:t>UNDERWRITING BULLETIN</w:t>
      </w:r>
    </w:p>
    <w:p w14:paraId="03627A57" w14:textId="77777777" w:rsidR="00683B15" w:rsidRPr="00866472" w:rsidRDefault="00F123FD" w:rsidP="00683B15">
      <w:pPr>
        <w:spacing w:after="0"/>
        <w:rPr>
          <w:rFonts w:ascii="Times New Roman" w:hAnsi="Times New Roman" w:cs="Times New Roman"/>
          <w:b/>
        </w:rPr>
      </w:pPr>
      <w:r>
        <w:rPr>
          <w:rFonts w:ascii="Times New Roman" w:hAnsi="Times New Roman" w:cs="Times New Roman"/>
          <w:b/>
        </w:rPr>
        <w:t xml:space="preserve">FROM: </w:t>
      </w:r>
      <w:r>
        <w:rPr>
          <w:rFonts w:ascii="Times New Roman" w:hAnsi="Times New Roman" w:cs="Times New Roman"/>
          <w:b/>
        </w:rPr>
        <w:tab/>
        <w:t xml:space="preserve">     </w:t>
      </w:r>
      <w:r w:rsidR="00683B15" w:rsidRPr="00866472">
        <w:rPr>
          <w:rFonts w:ascii="Times New Roman" w:hAnsi="Times New Roman" w:cs="Times New Roman"/>
          <w:b/>
        </w:rPr>
        <w:t xml:space="preserve">Underwriting </w:t>
      </w:r>
      <w:r w:rsidR="008401BC">
        <w:rPr>
          <w:rFonts w:ascii="Times New Roman" w:hAnsi="Times New Roman" w:cs="Times New Roman"/>
          <w:b/>
        </w:rPr>
        <w:t>Department</w:t>
      </w:r>
    </w:p>
    <w:p w14:paraId="03627A58" w14:textId="77777777" w:rsidR="00683B15" w:rsidRPr="00866472" w:rsidRDefault="00683B15" w:rsidP="00683B15">
      <w:pPr>
        <w:spacing w:after="0"/>
        <w:rPr>
          <w:rFonts w:ascii="Times New Roman" w:hAnsi="Times New Roman" w:cs="Times New Roman"/>
          <w:b/>
        </w:rPr>
      </w:pPr>
    </w:p>
    <w:p w14:paraId="03627A59" w14:textId="1C495C9D" w:rsidR="00683B15" w:rsidRPr="00866472" w:rsidRDefault="00683B15" w:rsidP="00683B15">
      <w:pPr>
        <w:spacing w:after="0"/>
        <w:rPr>
          <w:rFonts w:ascii="Times New Roman" w:hAnsi="Times New Roman" w:cs="Times New Roman"/>
          <w:b/>
        </w:rPr>
      </w:pPr>
      <w:r w:rsidRPr="00866472">
        <w:rPr>
          <w:rFonts w:ascii="Times New Roman" w:hAnsi="Times New Roman" w:cs="Times New Roman"/>
          <w:b/>
        </w:rPr>
        <w:t>DATE:</w:t>
      </w:r>
      <w:r w:rsidRPr="00866472">
        <w:rPr>
          <w:rFonts w:ascii="Times New Roman" w:hAnsi="Times New Roman" w:cs="Times New Roman"/>
          <w:b/>
        </w:rPr>
        <w:tab/>
      </w:r>
      <w:r w:rsidRPr="00866472">
        <w:rPr>
          <w:rFonts w:ascii="Times New Roman" w:hAnsi="Times New Roman" w:cs="Times New Roman"/>
          <w:b/>
        </w:rPr>
        <w:tab/>
      </w:r>
      <w:r w:rsidR="00F123FD">
        <w:rPr>
          <w:rFonts w:ascii="Times New Roman" w:hAnsi="Times New Roman" w:cs="Times New Roman"/>
          <w:b/>
        </w:rPr>
        <w:t xml:space="preserve">     </w:t>
      </w:r>
      <w:r w:rsidR="008E710A">
        <w:rPr>
          <w:rFonts w:ascii="Times New Roman" w:hAnsi="Times New Roman" w:cs="Times New Roman"/>
          <w:b/>
        </w:rPr>
        <w:t>December 31, 2012</w:t>
      </w:r>
    </w:p>
    <w:p w14:paraId="03627A5A" w14:textId="77777777" w:rsidR="00683B15" w:rsidRPr="00866472" w:rsidRDefault="00683B15" w:rsidP="00683B15">
      <w:pPr>
        <w:spacing w:after="0"/>
        <w:rPr>
          <w:rFonts w:ascii="Times New Roman" w:hAnsi="Times New Roman" w:cs="Times New Roman"/>
          <w:b/>
        </w:rPr>
      </w:pPr>
    </w:p>
    <w:p w14:paraId="03627A5B" w14:textId="77777777" w:rsidR="008401BC" w:rsidRDefault="00683B15" w:rsidP="008401BC">
      <w:pPr>
        <w:autoSpaceDE w:val="0"/>
        <w:autoSpaceDN w:val="0"/>
        <w:adjustRightInd w:val="0"/>
        <w:spacing w:after="0" w:line="240" w:lineRule="auto"/>
        <w:rPr>
          <w:rFonts w:ascii="Times New Roman" w:hAnsi="Times New Roman" w:cs="Times New Roman"/>
          <w:b/>
          <w:bCs/>
        </w:rPr>
      </w:pPr>
      <w:r w:rsidRPr="00866472">
        <w:rPr>
          <w:rFonts w:ascii="Times New Roman" w:hAnsi="Times New Roman" w:cs="Times New Roman"/>
          <w:b/>
        </w:rPr>
        <w:t>TO:</w:t>
      </w:r>
      <w:r w:rsidRPr="00866472">
        <w:rPr>
          <w:rFonts w:ascii="Times New Roman" w:hAnsi="Times New Roman" w:cs="Times New Roman"/>
          <w:b/>
        </w:rPr>
        <w:tab/>
      </w:r>
      <w:r w:rsidRPr="00866472">
        <w:rPr>
          <w:rFonts w:ascii="Times New Roman" w:hAnsi="Times New Roman" w:cs="Times New Roman"/>
          <w:b/>
        </w:rPr>
        <w:tab/>
      </w:r>
      <w:r w:rsidR="00F123FD">
        <w:rPr>
          <w:rFonts w:ascii="Times New Roman" w:hAnsi="Times New Roman" w:cs="Times New Roman"/>
          <w:b/>
        </w:rPr>
        <w:t xml:space="preserve">     </w:t>
      </w:r>
      <w:r w:rsidRPr="00866472">
        <w:rPr>
          <w:rFonts w:ascii="Times New Roman" w:hAnsi="Times New Roman" w:cs="Times New Roman"/>
          <w:b/>
        </w:rPr>
        <w:t xml:space="preserve">All </w:t>
      </w:r>
      <w:r w:rsidR="008401BC">
        <w:rPr>
          <w:rFonts w:ascii="Times New Roman" w:hAnsi="Times New Roman" w:cs="Times New Roman"/>
          <w:b/>
          <w:bCs/>
        </w:rPr>
        <w:t>Policy Issuing Agents of WFG Title Insurance Company and</w:t>
      </w:r>
    </w:p>
    <w:p w14:paraId="03627A5C" w14:textId="77777777" w:rsidR="00683B15" w:rsidRDefault="008401BC" w:rsidP="008401BC">
      <w:pPr>
        <w:spacing w:after="0"/>
        <w:ind w:left="1440"/>
        <w:rPr>
          <w:rFonts w:ascii="Times New Roman" w:hAnsi="Times New Roman" w:cs="Times New Roman"/>
          <w:b/>
        </w:rPr>
      </w:pPr>
      <w:r>
        <w:rPr>
          <w:rFonts w:ascii="Times New Roman" w:hAnsi="Times New Roman" w:cs="Times New Roman"/>
          <w:b/>
          <w:bCs/>
        </w:rPr>
        <w:t xml:space="preserve">     WFG National Title Insurance Company</w:t>
      </w:r>
    </w:p>
    <w:p w14:paraId="03627A5D" w14:textId="77777777" w:rsidR="00F123FD" w:rsidRDefault="00F123FD" w:rsidP="00683B15">
      <w:pPr>
        <w:spacing w:after="0"/>
        <w:rPr>
          <w:rFonts w:ascii="Times New Roman" w:hAnsi="Times New Roman" w:cs="Times New Roman"/>
          <w:b/>
        </w:rPr>
      </w:pPr>
    </w:p>
    <w:p w14:paraId="03627A5E" w14:textId="7AB794A9" w:rsidR="00F123FD" w:rsidRPr="00866472" w:rsidRDefault="00F123FD" w:rsidP="00683B15">
      <w:pPr>
        <w:spacing w:after="0"/>
        <w:rPr>
          <w:rFonts w:ascii="Times New Roman" w:hAnsi="Times New Roman" w:cs="Times New Roman"/>
          <w:b/>
        </w:rPr>
      </w:pPr>
      <w:r>
        <w:rPr>
          <w:rFonts w:ascii="Times New Roman" w:hAnsi="Times New Roman" w:cs="Times New Roman"/>
          <w:b/>
        </w:rPr>
        <w:t>BULLETIN No.:</w:t>
      </w:r>
      <w:r w:rsidR="006C7BC9">
        <w:rPr>
          <w:rFonts w:ascii="Times New Roman" w:hAnsi="Times New Roman" w:cs="Times New Roman"/>
          <w:b/>
        </w:rPr>
        <w:t xml:space="preserve"> </w:t>
      </w:r>
      <w:r>
        <w:rPr>
          <w:rFonts w:ascii="Times New Roman" w:hAnsi="Times New Roman" w:cs="Times New Roman"/>
          <w:b/>
        </w:rPr>
        <w:t xml:space="preserve"> </w:t>
      </w:r>
      <w:r w:rsidR="008401BC">
        <w:rPr>
          <w:rFonts w:ascii="Times New Roman" w:hAnsi="Times New Roman" w:cs="Times New Roman"/>
          <w:b/>
        </w:rPr>
        <w:t xml:space="preserve">NATIONAL - </w:t>
      </w:r>
      <w:r w:rsidR="008E710A">
        <w:rPr>
          <w:rFonts w:ascii="Times New Roman" w:hAnsi="Times New Roman" w:cs="Times New Roman"/>
          <w:b/>
        </w:rPr>
        <w:t>1231</w:t>
      </w:r>
      <w:r w:rsidR="005D2472">
        <w:rPr>
          <w:rFonts w:ascii="Times New Roman" w:hAnsi="Times New Roman" w:cs="Times New Roman"/>
          <w:b/>
        </w:rPr>
        <w:t>2012</w:t>
      </w:r>
    </w:p>
    <w:p w14:paraId="03627A5F" w14:textId="77777777" w:rsidR="00683B15" w:rsidRPr="00866472" w:rsidRDefault="00683B15" w:rsidP="00683B15">
      <w:pPr>
        <w:spacing w:after="0"/>
        <w:rPr>
          <w:rFonts w:ascii="Times New Roman" w:hAnsi="Times New Roman" w:cs="Times New Roman"/>
          <w:b/>
        </w:rPr>
      </w:pPr>
    </w:p>
    <w:p w14:paraId="03627A60" w14:textId="5CDAEB71" w:rsidR="00683B15" w:rsidRPr="005D2472" w:rsidRDefault="00683B15" w:rsidP="00683B15">
      <w:pPr>
        <w:spacing w:after="0"/>
        <w:rPr>
          <w:rFonts w:ascii="Times New Roman" w:hAnsi="Times New Roman" w:cs="Times New Roman"/>
          <w:b/>
        </w:rPr>
      </w:pPr>
      <w:r w:rsidRPr="00866472">
        <w:rPr>
          <w:rFonts w:ascii="Times New Roman" w:hAnsi="Times New Roman" w:cs="Times New Roman"/>
          <w:b/>
        </w:rPr>
        <w:t>SUBJECT:</w:t>
      </w:r>
      <w:r w:rsidRPr="00866472">
        <w:rPr>
          <w:rFonts w:ascii="Times New Roman" w:hAnsi="Times New Roman" w:cs="Times New Roman"/>
          <w:b/>
        </w:rPr>
        <w:tab/>
      </w:r>
      <w:r w:rsidR="00F123FD">
        <w:rPr>
          <w:rFonts w:ascii="Times New Roman" w:hAnsi="Times New Roman" w:cs="Times New Roman"/>
          <w:b/>
        </w:rPr>
        <w:t xml:space="preserve">     </w:t>
      </w:r>
      <w:r w:rsidR="008E710A">
        <w:rPr>
          <w:rFonts w:ascii="Times New Roman" w:hAnsi="Times New Roman"/>
          <w:b/>
          <w:sz w:val="20"/>
          <w:szCs w:val="20"/>
        </w:rPr>
        <w:t>FDIC Bulletin</w:t>
      </w:r>
      <w:bookmarkStart w:id="0" w:name="_GoBack"/>
      <w:bookmarkEnd w:id="0"/>
    </w:p>
    <w:p w14:paraId="03627A62" w14:textId="77777777" w:rsidR="005D2472" w:rsidRPr="00392F84" w:rsidRDefault="005D2472" w:rsidP="005D2472">
      <w:pPr>
        <w:spacing w:after="0" w:line="240" w:lineRule="auto"/>
        <w:rPr>
          <w:rFonts w:ascii="Times New Roman" w:hAnsi="Times New Roman"/>
          <w:sz w:val="20"/>
          <w:szCs w:val="20"/>
          <w:u w:val="single"/>
        </w:rPr>
      </w:pPr>
    </w:p>
    <w:p w14:paraId="1B889696" w14:textId="281A0016" w:rsidR="008E710A" w:rsidRPr="008E710A" w:rsidRDefault="008E710A" w:rsidP="008E710A">
      <w:pPr>
        <w:jc w:val="both"/>
        <w:rPr>
          <w:rFonts w:ascii="Times New Roman" w:hAnsi="Times New Roman" w:cs="Times New Roman"/>
        </w:rPr>
      </w:pPr>
      <w:r w:rsidRPr="008E710A">
        <w:rPr>
          <w:rFonts w:ascii="Times New Roman" w:hAnsi="Times New Roman" w:cs="Times New Roman"/>
        </w:rPr>
        <w:t xml:space="preserve">In WFG’s Underwriting Bulletin </w:t>
      </w:r>
      <w:r w:rsidR="00903EC4">
        <w:rPr>
          <w:rFonts w:ascii="Times New Roman" w:hAnsi="Times New Roman" w:cs="Times New Roman"/>
        </w:rPr>
        <w:t>National 10-1110</w:t>
      </w:r>
      <w:r w:rsidRPr="008E710A">
        <w:rPr>
          <w:rFonts w:ascii="Times New Roman" w:hAnsi="Times New Roman" w:cs="Times New Roman"/>
        </w:rPr>
        <w:t xml:space="preserve">, dated </w:t>
      </w:r>
      <w:r w:rsidR="00903EC4">
        <w:rPr>
          <w:rFonts w:ascii="Times New Roman" w:hAnsi="Times New Roman" w:cs="Times New Roman"/>
        </w:rPr>
        <w:t>November</w:t>
      </w:r>
      <w:r w:rsidRPr="008E710A">
        <w:rPr>
          <w:rFonts w:ascii="Times New Roman" w:hAnsi="Times New Roman" w:cs="Times New Roman"/>
        </w:rPr>
        <w:t xml:space="preserve"> </w:t>
      </w:r>
      <w:r w:rsidR="00903EC4">
        <w:rPr>
          <w:rFonts w:ascii="Times New Roman" w:hAnsi="Times New Roman" w:cs="Times New Roman"/>
        </w:rPr>
        <w:t>10</w:t>
      </w:r>
      <w:r w:rsidRPr="008E710A">
        <w:rPr>
          <w:rFonts w:ascii="Times New Roman" w:hAnsi="Times New Roman" w:cs="Times New Roman"/>
        </w:rPr>
        <w:t>, 2010, we advised our agents as follows:</w:t>
      </w:r>
    </w:p>
    <w:p w14:paraId="0F7AB112" w14:textId="77777777" w:rsidR="008E710A" w:rsidRPr="008E710A" w:rsidRDefault="008E710A" w:rsidP="008E710A">
      <w:pPr>
        <w:ind w:left="720" w:right="720"/>
        <w:jc w:val="both"/>
        <w:rPr>
          <w:rFonts w:ascii="Times New Roman" w:hAnsi="Times New Roman" w:cs="Times New Roman"/>
        </w:rPr>
      </w:pPr>
      <w:r w:rsidRPr="008E710A">
        <w:rPr>
          <w:rFonts w:ascii="Times New Roman" w:hAnsi="Times New Roman" w:cs="Times New Roman"/>
        </w:rPr>
        <w:t>Beginning December 31, 2010, through December 31, 2012, all “</w:t>
      </w:r>
      <w:r w:rsidRPr="008E710A">
        <w:rPr>
          <w:rFonts w:ascii="Times New Roman" w:hAnsi="Times New Roman" w:cs="Times New Roman"/>
          <w:i/>
          <w:iCs/>
        </w:rPr>
        <w:t>noninterest-bearing transaction accounts</w:t>
      </w:r>
      <w:r w:rsidRPr="008E710A">
        <w:rPr>
          <w:rFonts w:ascii="Times New Roman" w:hAnsi="Times New Roman" w:cs="Times New Roman"/>
        </w:rPr>
        <w:t xml:space="preserve">” are fully insured, regardless of the amount on deposit, at all FDIC-insured institutions. </w:t>
      </w:r>
    </w:p>
    <w:p w14:paraId="0366D6A8" w14:textId="77777777" w:rsidR="008E710A" w:rsidRPr="008E710A" w:rsidRDefault="008E710A" w:rsidP="008E710A">
      <w:pPr>
        <w:jc w:val="both"/>
        <w:rPr>
          <w:rFonts w:ascii="Times New Roman" w:hAnsi="Times New Roman" w:cs="Times New Roman"/>
        </w:rPr>
      </w:pPr>
      <w:r w:rsidRPr="008E710A">
        <w:rPr>
          <w:rFonts w:ascii="Times New Roman" w:hAnsi="Times New Roman" w:cs="Times New Roman"/>
        </w:rPr>
        <w:t xml:space="preserve">Please take note that as of January 1, 2013, funds deposited in a noninterest-bearing transaction account no longer will receive unlimited deposit insurance coverage.  Beginning on that date, all of a depositor’s accounts at an insured depository institution, including all noninterest-bearing transaction accounts, will only be insured by the FDIC up to the standard maximum deposit insurance amount ($250,000.00) for each deposit insurance ownership category. </w:t>
      </w:r>
    </w:p>
    <w:p w14:paraId="576EC373" w14:textId="1DB9D5EA" w:rsidR="008E710A" w:rsidRPr="008E710A" w:rsidRDefault="008E710A" w:rsidP="008E710A">
      <w:pPr>
        <w:jc w:val="both"/>
        <w:rPr>
          <w:rFonts w:ascii="Times New Roman" w:hAnsi="Times New Roman" w:cs="Times New Roman"/>
        </w:rPr>
      </w:pPr>
      <w:r w:rsidRPr="008E710A">
        <w:rPr>
          <w:rFonts w:ascii="Times New Roman" w:hAnsi="Times New Roman" w:cs="Times New Roman"/>
        </w:rPr>
        <w:t xml:space="preserve"> A </w:t>
      </w:r>
      <w:r w:rsidRPr="008E710A">
        <w:rPr>
          <w:rFonts w:ascii="Times New Roman" w:hAnsi="Times New Roman" w:cs="Times New Roman"/>
          <w:i/>
          <w:iCs/>
        </w:rPr>
        <w:t>“noninterest-bearing transaction account”</w:t>
      </w:r>
      <w:r w:rsidRPr="008E710A">
        <w:rPr>
          <w:rFonts w:ascii="Times New Roman" w:hAnsi="Times New Roman" w:cs="Times New Roman"/>
        </w:rPr>
        <w:t xml:space="preserve"> is a type of deposit account where interest is </w:t>
      </w:r>
      <w:proofErr w:type="gramStart"/>
      <w:r w:rsidRPr="008E710A">
        <w:rPr>
          <w:rFonts w:ascii="Times New Roman" w:hAnsi="Times New Roman" w:cs="Times New Roman"/>
        </w:rPr>
        <w:t>neither accrued nor paid, depositors are permitted to make an unlimited number of transfers and withdrawals, and</w:t>
      </w:r>
      <w:proofErr w:type="gramEnd"/>
      <w:r w:rsidRPr="008E710A">
        <w:rPr>
          <w:rFonts w:ascii="Times New Roman" w:hAnsi="Times New Roman" w:cs="Times New Roman"/>
        </w:rPr>
        <w:t xml:space="preserve"> the bank does not reserve the right to require advance notice of a withdrawal.   </w:t>
      </w:r>
    </w:p>
    <w:p w14:paraId="04E44BD6" w14:textId="77777777" w:rsidR="00C9110D" w:rsidRDefault="008E710A" w:rsidP="00C9110D">
      <w:pPr>
        <w:pStyle w:val="NormalWeb"/>
      </w:pPr>
      <w:r w:rsidRPr="008E710A">
        <w:t xml:space="preserve">WFG strongly recommends that agents confer with their own deposit institutions as to how to structure their accounts so as to achieve the maximum available insurance coverage.  </w:t>
      </w:r>
    </w:p>
    <w:p w14:paraId="75E45925" w14:textId="77777777" w:rsidR="00C9110D" w:rsidRDefault="00C9110D" w:rsidP="00C9110D">
      <w:pPr>
        <w:pStyle w:val="NormalWeb"/>
      </w:pPr>
    </w:p>
    <w:p w14:paraId="521DB3A2" w14:textId="453DFB74" w:rsidR="00C9110D" w:rsidRDefault="00C9110D" w:rsidP="00C9110D">
      <w:pPr>
        <w:pStyle w:val="NormalWeb"/>
        <w:rPr>
          <w:rFonts w:ascii="Tahoma" w:hAnsi="Tahoma" w:cs="Tahoma"/>
          <w:color w:val="000000"/>
          <w:sz w:val="20"/>
          <w:szCs w:val="20"/>
        </w:rPr>
      </w:pPr>
      <w:r w:rsidRPr="00C9110D">
        <w:t>For more information about FDIC insurance coverage of noninterest-bearing transaction accounts, visit:</w:t>
      </w:r>
      <w:r>
        <w:rPr>
          <w:rFonts w:ascii="Tahoma" w:hAnsi="Tahoma" w:cs="Tahoma"/>
          <w:color w:val="000000"/>
          <w:sz w:val="20"/>
          <w:szCs w:val="20"/>
        </w:rPr>
        <w:t xml:space="preserve"> </w:t>
      </w:r>
      <w:hyperlink r:id="rId13" w:history="1">
        <w:r>
          <w:rPr>
            <w:rStyle w:val="Hyperlink"/>
            <w:rFonts w:ascii="Tahoma" w:hAnsi="Tahoma" w:cs="Tahoma"/>
            <w:color w:val="810081"/>
            <w:sz w:val="20"/>
            <w:szCs w:val="20"/>
          </w:rPr>
          <w:t>http://www.fdic.gov/deposit/deposits/unlimited/expiration.html</w:t>
        </w:r>
      </w:hyperlink>
      <w:r>
        <w:rPr>
          <w:rFonts w:ascii="Tahoma" w:hAnsi="Tahoma" w:cs="Tahoma"/>
          <w:color w:val="000000"/>
          <w:sz w:val="20"/>
          <w:szCs w:val="20"/>
        </w:rPr>
        <w:t> </w:t>
      </w:r>
    </w:p>
    <w:p w14:paraId="03627A91" w14:textId="02001791" w:rsidR="008401BC" w:rsidRPr="008E710A" w:rsidRDefault="008401BC" w:rsidP="008E710A">
      <w:pPr>
        <w:rPr>
          <w:rFonts w:ascii="Times New Roman" w:hAnsi="Times New Roman" w:cs="Times New Roman"/>
        </w:rPr>
      </w:pPr>
    </w:p>
    <w:p w14:paraId="03627A94" w14:textId="77777777" w:rsidR="008401BC" w:rsidRDefault="008401BC" w:rsidP="00683B15">
      <w:pPr>
        <w:spacing w:after="0"/>
      </w:pPr>
    </w:p>
    <w:p w14:paraId="03627A95" w14:textId="77777777" w:rsidR="00866472" w:rsidRPr="00F123FD" w:rsidRDefault="00866472" w:rsidP="00F123FD">
      <w:pPr>
        <w:autoSpaceDE w:val="0"/>
        <w:autoSpaceDN w:val="0"/>
        <w:adjustRightInd w:val="0"/>
        <w:spacing w:after="0"/>
        <w:rPr>
          <w:rFonts w:ascii="Times New Roman" w:hAnsi="Times New Roman"/>
          <w:color w:val="FF0000"/>
          <w:sz w:val="18"/>
          <w:szCs w:val="18"/>
        </w:rPr>
      </w:pPr>
      <w:r w:rsidRPr="00EA3162">
        <w:rPr>
          <w:rFonts w:ascii="Times New Roman" w:hAnsi="Times New Roman"/>
          <w:color w:val="FF0000"/>
          <w:sz w:val="18"/>
          <w:szCs w:val="18"/>
        </w:rPr>
        <w:t>NOTE: This Bulletin is intended for use by title issuing offices, title insurance agents and approved attorneys of WFG National Title Insurance Company and any reliance by any other person or entity is unauthorized. This bulletin is intended solely for the purpose of underwriting policies of WFG National Title Insurance Company.</w:t>
      </w:r>
    </w:p>
    <w:sectPr w:rsidR="00866472" w:rsidRPr="00F123FD" w:rsidSect="000B79F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27A9C" w14:textId="77777777" w:rsidR="0052438B" w:rsidRDefault="0052438B" w:rsidP="00866472">
      <w:pPr>
        <w:spacing w:after="0" w:line="240" w:lineRule="auto"/>
      </w:pPr>
      <w:r>
        <w:separator/>
      </w:r>
    </w:p>
  </w:endnote>
  <w:endnote w:type="continuationSeparator" w:id="0">
    <w:p w14:paraId="03627A9D" w14:textId="77777777" w:rsidR="0052438B" w:rsidRDefault="0052438B" w:rsidP="0086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43462"/>
      <w:docPartObj>
        <w:docPartGallery w:val="Page Numbers (Bottom of Page)"/>
        <w:docPartUnique/>
      </w:docPartObj>
    </w:sdtPr>
    <w:sdtEndPr/>
    <w:sdtContent>
      <w:sdt>
        <w:sdtPr>
          <w:id w:val="-1669238322"/>
          <w:docPartObj>
            <w:docPartGallery w:val="Page Numbers (Top of Page)"/>
            <w:docPartUnique/>
          </w:docPartObj>
        </w:sdtPr>
        <w:sdtEndPr/>
        <w:sdtContent>
          <w:p w14:paraId="03627A9E" w14:textId="77777777" w:rsidR="0052438B" w:rsidRDefault="0052438B">
            <w:pPr>
              <w:pStyle w:val="Footer"/>
              <w:jc w:val="center"/>
            </w:pPr>
            <w:r>
              <w:t xml:space="preserve">Page </w:t>
            </w:r>
            <w:r w:rsidR="005651C3">
              <w:rPr>
                <w:b/>
                <w:bCs/>
                <w:sz w:val="24"/>
                <w:szCs w:val="24"/>
              </w:rPr>
              <w:fldChar w:fldCharType="begin"/>
            </w:r>
            <w:r>
              <w:rPr>
                <w:b/>
                <w:bCs/>
              </w:rPr>
              <w:instrText xml:space="preserve"> PAGE </w:instrText>
            </w:r>
            <w:r w:rsidR="005651C3">
              <w:rPr>
                <w:b/>
                <w:bCs/>
                <w:sz w:val="24"/>
                <w:szCs w:val="24"/>
              </w:rPr>
              <w:fldChar w:fldCharType="separate"/>
            </w:r>
            <w:r w:rsidR="00C03BF1">
              <w:rPr>
                <w:b/>
                <w:bCs/>
                <w:noProof/>
              </w:rPr>
              <w:t>1</w:t>
            </w:r>
            <w:r w:rsidR="005651C3">
              <w:rPr>
                <w:b/>
                <w:bCs/>
                <w:sz w:val="24"/>
                <w:szCs w:val="24"/>
              </w:rPr>
              <w:fldChar w:fldCharType="end"/>
            </w:r>
            <w:r>
              <w:t xml:space="preserve"> of </w:t>
            </w:r>
            <w:r w:rsidR="005651C3">
              <w:rPr>
                <w:b/>
                <w:bCs/>
                <w:sz w:val="24"/>
                <w:szCs w:val="24"/>
              </w:rPr>
              <w:fldChar w:fldCharType="begin"/>
            </w:r>
            <w:r>
              <w:rPr>
                <w:b/>
                <w:bCs/>
              </w:rPr>
              <w:instrText xml:space="preserve"> NUMPAGES  </w:instrText>
            </w:r>
            <w:r w:rsidR="005651C3">
              <w:rPr>
                <w:b/>
                <w:bCs/>
                <w:sz w:val="24"/>
                <w:szCs w:val="24"/>
              </w:rPr>
              <w:fldChar w:fldCharType="separate"/>
            </w:r>
            <w:r w:rsidR="00C03BF1">
              <w:rPr>
                <w:b/>
                <w:bCs/>
                <w:noProof/>
              </w:rPr>
              <w:t>1</w:t>
            </w:r>
            <w:r w:rsidR="005651C3">
              <w:rPr>
                <w:b/>
                <w:bCs/>
                <w:sz w:val="24"/>
                <w:szCs w:val="24"/>
              </w:rPr>
              <w:fldChar w:fldCharType="end"/>
            </w:r>
          </w:p>
        </w:sdtContent>
      </w:sdt>
    </w:sdtContent>
  </w:sdt>
  <w:p w14:paraId="03627A9F" w14:textId="77777777" w:rsidR="0052438B" w:rsidRDefault="00524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27A9A" w14:textId="77777777" w:rsidR="0052438B" w:rsidRDefault="0052438B" w:rsidP="00866472">
      <w:pPr>
        <w:spacing w:after="0" w:line="240" w:lineRule="auto"/>
      </w:pPr>
      <w:r>
        <w:separator/>
      </w:r>
    </w:p>
  </w:footnote>
  <w:footnote w:type="continuationSeparator" w:id="0">
    <w:p w14:paraId="03627A9B" w14:textId="77777777" w:rsidR="0052438B" w:rsidRDefault="0052438B" w:rsidP="00866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D393B"/>
    <w:multiLevelType w:val="hybridMultilevel"/>
    <w:tmpl w:val="B326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35"/>
    <w:rsid w:val="000B79FB"/>
    <w:rsid w:val="00135EDE"/>
    <w:rsid w:val="00182C4F"/>
    <w:rsid w:val="001D4456"/>
    <w:rsid w:val="00215529"/>
    <w:rsid w:val="00240232"/>
    <w:rsid w:val="002D7695"/>
    <w:rsid w:val="0032074D"/>
    <w:rsid w:val="0052438B"/>
    <w:rsid w:val="005651C3"/>
    <w:rsid w:val="005D2472"/>
    <w:rsid w:val="0064344C"/>
    <w:rsid w:val="006812E2"/>
    <w:rsid w:val="00683B15"/>
    <w:rsid w:val="006C0E9D"/>
    <w:rsid w:val="006C7BC9"/>
    <w:rsid w:val="00792FE3"/>
    <w:rsid w:val="00794B35"/>
    <w:rsid w:val="008401BC"/>
    <w:rsid w:val="00866472"/>
    <w:rsid w:val="008E710A"/>
    <w:rsid w:val="00903EC4"/>
    <w:rsid w:val="00A84736"/>
    <w:rsid w:val="00AE4204"/>
    <w:rsid w:val="00BA6C63"/>
    <w:rsid w:val="00BD264F"/>
    <w:rsid w:val="00C03BF1"/>
    <w:rsid w:val="00C9110D"/>
    <w:rsid w:val="00D04B86"/>
    <w:rsid w:val="00D22A25"/>
    <w:rsid w:val="00DD77C2"/>
    <w:rsid w:val="00EB3086"/>
    <w:rsid w:val="00F1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35"/>
    <w:rPr>
      <w:rFonts w:ascii="Tahoma" w:hAnsi="Tahoma" w:cs="Tahoma"/>
      <w:sz w:val="16"/>
      <w:szCs w:val="16"/>
    </w:rPr>
  </w:style>
  <w:style w:type="paragraph" w:styleId="Header">
    <w:name w:val="header"/>
    <w:basedOn w:val="Normal"/>
    <w:link w:val="HeaderChar"/>
    <w:uiPriority w:val="99"/>
    <w:unhideWhenUsed/>
    <w:rsid w:val="0086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72"/>
  </w:style>
  <w:style w:type="paragraph" w:styleId="Footer">
    <w:name w:val="footer"/>
    <w:basedOn w:val="Normal"/>
    <w:link w:val="FooterChar"/>
    <w:uiPriority w:val="99"/>
    <w:unhideWhenUsed/>
    <w:rsid w:val="0086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72"/>
  </w:style>
  <w:style w:type="paragraph" w:styleId="PlainText">
    <w:name w:val="Plain Text"/>
    <w:basedOn w:val="Normal"/>
    <w:link w:val="PlainTextChar"/>
    <w:uiPriority w:val="99"/>
    <w:unhideWhenUsed/>
    <w:rsid w:val="008401B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401BC"/>
    <w:rPr>
      <w:rFonts w:ascii="Consolas" w:eastAsiaTheme="minorHAnsi" w:hAnsi="Consolas"/>
      <w:sz w:val="21"/>
      <w:szCs w:val="21"/>
    </w:rPr>
  </w:style>
  <w:style w:type="character" w:styleId="Hyperlink">
    <w:name w:val="Hyperlink"/>
    <w:basedOn w:val="DefaultParagraphFont"/>
    <w:uiPriority w:val="99"/>
    <w:semiHidden/>
    <w:unhideWhenUsed/>
    <w:rsid w:val="00C9110D"/>
    <w:rPr>
      <w:color w:val="0000FF"/>
      <w:u w:val="single"/>
    </w:rPr>
  </w:style>
  <w:style w:type="paragraph" w:styleId="NormalWeb">
    <w:name w:val="Normal (Web)"/>
    <w:basedOn w:val="Normal"/>
    <w:uiPriority w:val="99"/>
    <w:semiHidden/>
    <w:unhideWhenUsed/>
    <w:rsid w:val="00C9110D"/>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35"/>
    <w:rPr>
      <w:rFonts w:ascii="Tahoma" w:hAnsi="Tahoma" w:cs="Tahoma"/>
      <w:sz w:val="16"/>
      <w:szCs w:val="16"/>
    </w:rPr>
  </w:style>
  <w:style w:type="paragraph" w:styleId="Header">
    <w:name w:val="header"/>
    <w:basedOn w:val="Normal"/>
    <w:link w:val="HeaderChar"/>
    <w:uiPriority w:val="99"/>
    <w:unhideWhenUsed/>
    <w:rsid w:val="0086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72"/>
  </w:style>
  <w:style w:type="paragraph" w:styleId="Footer">
    <w:name w:val="footer"/>
    <w:basedOn w:val="Normal"/>
    <w:link w:val="FooterChar"/>
    <w:uiPriority w:val="99"/>
    <w:unhideWhenUsed/>
    <w:rsid w:val="0086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72"/>
  </w:style>
  <w:style w:type="paragraph" w:styleId="PlainText">
    <w:name w:val="Plain Text"/>
    <w:basedOn w:val="Normal"/>
    <w:link w:val="PlainTextChar"/>
    <w:uiPriority w:val="99"/>
    <w:unhideWhenUsed/>
    <w:rsid w:val="008401B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401BC"/>
    <w:rPr>
      <w:rFonts w:ascii="Consolas" w:eastAsiaTheme="minorHAnsi" w:hAnsi="Consolas"/>
      <w:sz w:val="21"/>
      <w:szCs w:val="21"/>
    </w:rPr>
  </w:style>
  <w:style w:type="character" w:styleId="Hyperlink">
    <w:name w:val="Hyperlink"/>
    <w:basedOn w:val="DefaultParagraphFont"/>
    <w:uiPriority w:val="99"/>
    <w:semiHidden/>
    <w:unhideWhenUsed/>
    <w:rsid w:val="00C9110D"/>
    <w:rPr>
      <w:color w:val="0000FF"/>
      <w:u w:val="single"/>
    </w:rPr>
  </w:style>
  <w:style w:type="paragraph" w:styleId="NormalWeb">
    <w:name w:val="Normal (Web)"/>
    <w:basedOn w:val="Normal"/>
    <w:uiPriority w:val="99"/>
    <w:semiHidden/>
    <w:unhideWhenUsed/>
    <w:rsid w:val="00C9110D"/>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4865">
      <w:bodyDiv w:val="1"/>
      <w:marLeft w:val="0"/>
      <w:marRight w:val="0"/>
      <w:marTop w:val="0"/>
      <w:marBottom w:val="0"/>
      <w:divBdr>
        <w:top w:val="none" w:sz="0" w:space="0" w:color="auto"/>
        <w:left w:val="none" w:sz="0" w:space="0" w:color="auto"/>
        <w:bottom w:val="none" w:sz="0" w:space="0" w:color="auto"/>
        <w:right w:val="none" w:sz="0" w:space="0" w:color="auto"/>
      </w:divBdr>
    </w:div>
    <w:div w:id="868686590">
      <w:bodyDiv w:val="1"/>
      <w:marLeft w:val="0"/>
      <w:marRight w:val="0"/>
      <w:marTop w:val="0"/>
      <w:marBottom w:val="0"/>
      <w:divBdr>
        <w:top w:val="none" w:sz="0" w:space="0" w:color="auto"/>
        <w:left w:val="none" w:sz="0" w:space="0" w:color="auto"/>
        <w:bottom w:val="none" w:sz="0" w:space="0" w:color="auto"/>
        <w:right w:val="none" w:sz="0" w:space="0" w:color="auto"/>
      </w:divBdr>
    </w:div>
    <w:div w:id="20178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dic.gov/deposit/deposits/unlimited/expiration.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4EF42-FD39-49FB-AB94-34B2A944EEBE}">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5ADF8F8-E904-4852-BAC5-BD7CF9F34F79}">
  <ds:schemaRefs>
    <ds:schemaRef ds:uri="http://schemas.microsoft.com/sharepoint/v3/contenttype/forms"/>
  </ds:schemaRefs>
</ds:datastoreItem>
</file>

<file path=customXml/itemProps3.xml><?xml version="1.0" encoding="utf-8"?>
<ds:datastoreItem xmlns:ds="http://schemas.openxmlformats.org/officeDocument/2006/customXml" ds:itemID="{5FDB16DD-65C0-4989-BF8B-E4B0C6A67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Ranjani</cp:lastModifiedBy>
  <cp:revision>10</cp:revision>
  <cp:lastPrinted>2012-12-31T22:43:00Z</cp:lastPrinted>
  <dcterms:created xsi:type="dcterms:W3CDTF">2012-12-31T16:36:00Z</dcterms:created>
  <dcterms:modified xsi:type="dcterms:W3CDTF">2012-12-31T22:43:00Z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